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2404" w14:textId="77777777" w:rsidR="009E0B79" w:rsidRPr="009E0B79" w:rsidRDefault="009E0B79" w:rsidP="009E0B79">
      <w:pPr>
        <w:spacing w:after="16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9E0B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ANYAKÖNYV</w:t>
      </w:r>
    </w:p>
    <w:p w14:paraId="7EBDAEA0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ANYAKÖNYVI ÜGYEK: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Tájékoztató letöltése:</w:t>
      </w:r>
    </w:p>
    <w:p w14:paraId="4DE13605" w14:textId="77777777" w:rsidR="009E0B79" w:rsidRPr="009E0B79" w:rsidRDefault="009E0B79" w:rsidP="009E0B7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404040"/>
          <w:sz w:val="19"/>
          <w:szCs w:val="19"/>
          <w:lang w:eastAsia="hu-HU"/>
        </w:rPr>
      </w:pPr>
      <w:hyperlink r:id="rId5" w:history="1">
        <w:r w:rsidRPr="009E0B79">
          <w:rPr>
            <w:rFonts w:ascii="Roboto" w:eastAsia="Times New Roman" w:hAnsi="Roboto" w:cs="Times New Roman"/>
            <w:color w:val="4169E1"/>
            <w:sz w:val="19"/>
            <w:szCs w:val="19"/>
            <w:u w:val="single"/>
            <w:lang w:eastAsia="hu-HU"/>
          </w:rPr>
          <w:t>Anyakönyvi ügyek tájékoztató</w:t>
        </w:r>
      </w:hyperlink>
    </w:p>
    <w:p w14:paraId="53E24E6F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Anyakönyvi ügyek</w:t>
      </w:r>
    </w:p>
    <w:p w14:paraId="2BE7D264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1. Újszülöttek anyakönyvezése</w:t>
      </w:r>
    </w:p>
    <w:p w14:paraId="777F068A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Újszülöttek anyakönyvezésére a születés helye szerinti anyakönyvvezető az illetékes. Az intézeten kívül született újszülötteket kell a szülőknek bejelenteni.</w:t>
      </w:r>
    </w:p>
    <w:p w14:paraId="5F2ACF85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Intézeten kívül született gyermek bejelentéséhez szükséges dokumentumok:</w:t>
      </w:r>
    </w:p>
    <w:p w14:paraId="08681708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– 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felelős személy által kiállított igazolás intézeten kívüli születésről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anya által aláírt élve születési jegyzőkönyv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anya és apa érvényes személyazonosító igazolványa és lakcímkártyája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házassági anyakönyvi kivonat vagy teljes hatályú apai elismerő nyilatkozat</w:t>
      </w:r>
    </w:p>
    <w:p w14:paraId="1C484F19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Alkalmazandó jogszabályok:</w:t>
      </w:r>
    </w:p>
    <w:p w14:paraId="1D0F269C" w14:textId="77777777" w:rsidR="009E0B79" w:rsidRPr="009E0B79" w:rsidRDefault="009E0B79" w:rsidP="009E0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6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anyakönyvi eljárásról szóló 2010. évi I. törvény</w:t>
        </w:r>
      </w:hyperlink>
    </w:p>
    <w:p w14:paraId="6948EECF" w14:textId="77777777" w:rsidR="009E0B79" w:rsidRPr="009E0B79" w:rsidRDefault="009E0B79" w:rsidP="009E0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7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anyakönyvezési feladatok ellátásának részletes szabályairól szóló 429/2017. (XII.20) Korm. rendelet</w:t>
        </w:r>
      </w:hyperlink>
    </w:p>
    <w:p w14:paraId="2DFE679F" w14:textId="77777777" w:rsidR="009E0B79" w:rsidRPr="009E0B79" w:rsidRDefault="009E0B79" w:rsidP="009E0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8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 Polgári Törvénykönyvről szóló 2013. évi V. törvény</w:t>
        </w:r>
      </w:hyperlink>
    </w:p>
    <w:p w14:paraId="13DA123C" w14:textId="77777777" w:rsidR="009E0B79" w:rsidRPr="009E0B79" w:rsidRDefault="009E0B79" w:rsidP="009E0B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9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intézeten kívüli szülésről szóló 35/2011 (III.21.) Korm. rendelet</w:t>
        </w:r>
      </w:hyperlink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.</w:t>
      </w:r>
    </w:p>
    <w:p w14:paraId="68C499BA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2. Házasságkötés</w:t>
      </w:r>
    </w:p>
    <w:p w14:paraId="594A51EE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A házasságkötési szándékot a pár személyesen, együttesen jelentheti be. Házasságkötés esetén a hivatalos jegyzőkönyv felvétele és a házasságkötés időpontja között minimum 30 napnak el kell telnie.</w:t>
      </w:r>
    </w:p>
    <w:p w14:paraId="1335FDBE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Bejelentkezéshez szükséges dokumentumok:</w:t>
      </w:r>
    </w:p>
    <w:p w14:paraId="1954132E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 xml:space="preserve">– érvényes személyazonosító igazolvány vagy </w:t>
      </w:r>
      <w:proofErr w:type="gramStart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útlevél</w:t>
      </w:r>
      <w:proofErr w:type="gramEnd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 xml:space="preserve"> vagy vezetői engedély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lakcímkártya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születési anyakönyvi kivonat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elvált/özvegy családi állapot esetén családi állapot igazolás.</w:t>
      </w:r>
    </w:p>
    <w:p w14:paraId="4970852E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Alkalmazandó jogszabályok:</w:t>
      </w:r>
    </w:p>
    <w:p w14:paraId="7CB21BC3" w14:textId="77777777" w:rsidR="009E0B79" w:rsidRPr="009E0B79" w:rsidRDefault="009E0B79" w:rsidP="009E0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0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anyakönyvi eljárásról szóló 2010. évi I. törvény</w:t>
        </w:r>
      </w:hyperlink>
    </w:p>
    <w:p w14:paraId="57DFF0D0" w14:textId="77777777" w:rsidR="009E0B79" w:rsidRPr="009E0B79" w:rsidRDefault="009E0B79" w:rsidP="009E0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1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anyakönyvezési feladatok ellátásának részletes szabályairól szóló 429/2017. (XII.20) Korm. rendelet</w:t>
        </w:r>
      </w:hyperlink>
    </w:p>
    <w:p w14:paraId="452647D5" w14:textId="77777777" w:rsidR="009E0B79" w:rsidRPr="009E0B79" w:rsidRDefault="009E0B79" w:rsidP="009E0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2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 Polgári Törvénykönyvről szóló 2013. évi V. törvény</w:t>
        </w:r>
      </w:hyperlink>
    </w:p>
    <w:p w14:paraId="689EA246" w14:textId="77777777" w:rsidR="009E0B79" w:rsidRPr="009E0B79" w:rsidRDefault="009E0B79" w:rsidP="009E0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3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 xml:space="preserve">Pókaszepetk Község Önkormányzat Képviselő-testülete 6/2016(III.11.) önkormányzati rendelete a házasságkötés létesítésének hivatali helyiségen kívüli, valamint a hivatali munkaidőn kívül történő engedélyezésének </w:t>
        </w:r>
        <w:proofErr w:type="gramStart"/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szabályairól ,</w:t>
        </w:r>
        <w:proofErr w:type="gramEnd"/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 xml:space="preserve"> valamint az azokért fizetendő díjak mértékéről</w:t>
        </w:r>
      </w:hyperlink>
    </w:p>
    <w:p w14:paraId="28C446DA" w14:textId="77777777" w:rsidR="009E0B79" w:rsidRPr="009E0B79" w:rsidRDefault="009E0B79" w:rsidP="009E0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 xml:space="preserve">Gyűrűs Község Önkormányzat képviselő-testülete 5/2016(V.10.) önkormányzati rendelete a házasságkötés létesítésének hivatali helyiségen kívüli, valamint a hivatali munkaidőn kívül történő engedélyezésének </w:t>
      </w:r>
      <w:proofErr w:type="gramStart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szabályairól ,</w:t>
      </w:r>
      <w:proofErr w:type="gramEnd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 xml:space="preserve"> valamint az azokért fizetendő díjak mértékéről</w:t>
      </w:r>
    </w:p>
    <w:p w14:paraId="0CDED07F" w14:textId="77777777" w:rsidR="009E0B79" w:rsidRPr="009E0B79" w:rsidRDefault="009E0B79" w:rsidP="009E0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 xml:space="preserve">Kemendollár Község Önkormányzat Képviselő-testülete6/2016(V.10.) önkormányzati rendelete a házasságkötés létesítésének hivatali helyiségen kívüli, valamint a hivatali munkaidőn kívül történő engedélyezésének </w:t>
      </w:r>
      <w:proofErr w:type="gramStart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szabályairól ,</w:t>
      </w:r>
      <w:proofErr w:type="gramEnd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 xml:space="preserve"> valamint az azokért fizetendő díjak mértékéről</w:t>
      </w:r>
    </w:p>
    <w:p w14:paraId="5AF14D8F" w14:textId="77777777" w:rsidR="009E0B79" w:rsidRPr="009E0B79" w:rsidRDefault="009E0B79" w:rsidP="009E0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 xml:space="preserve">Vöckönd Község Önkormányzat Képviselő-testülete 5/2016(V.10.) önkormányzati rendelete a házasságkötés létesítésének hivatali helyiségen kívüli, valamint a hivatali munkaidőn kívül történő engedélyezésének </w:t>
      </w:r>
      <w:proofErr w:type="gramStart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szabályairól ,</w:t>
      </w:r>
      <w:proofErr w:type="gramEnd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 xml:space="preserve"> valamint az azokért fizetendő díjak mértékéről</w:t>
      </w:r>
    </w:p>
    <w:p w14:paraId="76395457" w14:textId="77777777" w:rsidR="009E0B79" w:rsidRPr="009E0B79" w:rsidRDefault="009E0B79" w:rsidP="009E0B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 xml:space="preserve">Zalaistvánd Község Önkormányzat Képviselő-testülete 5/2016(V.10.) önkormányzati rendelete a házasságkötés létesítésének hivatali helyiségen kívüli, valamint a hivatali munkaidőn kívül történő engedélyezésének </w:t>
      </w:r>
      <w:proofErr w:type="gramStart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szabályairól ,</w:t>
      </w:r>
      <w:proofErr w:type="gramEnd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 xml:space="preserve"> valamint az azokért fizetendő díjak mértékéről</w:t>
      </w:r>
    </w:p>
    <w:p w14:paraId="1065954E" w14:textId="77777777" w:rsidR="009E0B79" w:rsidRPr="009E0B79" w:rsidRDefault="009E0B79" w:rsidP="009E0B79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B79"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58AA8BE7">
          <v:rect id="_x0000_i1025" style="width:0;height:.75pt" o:hralign="center" o:hrstd="t" o:hr="t" fillcolor="#a0a0a0" stroked="f"/>
        </w:pict>
      </w:r>
    </w:p>
    <w:p w14:paraId="241D8304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3. Haláleset anyakönyvezése</w:t>
      </w:r>
    </w:p>
    <w:p w14:paraId="1B37F457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Halálesetek anyakönyvezésére a haláleset helye szerinti anyakönyvvezető az illetékes.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A temetkezési vállalkozó megbízás alapján intézheti a haláleset anyakönyvezését is.</w:t>
      </w:r>
    </w:p>
    <w:p w14:paraId="4CA576CF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 haláleset bejelentéséhez szükséges dokumentumok:</w:t>
      </w:r>
    </w:p>
    <w:p w14:paraId="02CBCECD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– halottvizsgálati bizonyítvány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elhunyt személyazonosító igazolványa és lakcímkártyája (útlevél, vezetői engedély)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elhunyt és házastársa születési anyakönyvi kivonata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 xml:space="preserve">– családi állapot igazolás – házassági anyakönyvi kivonat vagy jogerős </w:t>
      </w:r>
      <w:proofErr w:type="gramStart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bontóítélet</w:t>
      </w:r>
      <w:proofErr w:type="gramEnd"/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 xml:space="preserve"> vagy volt házastárs halotti anyakönyvi kivonata.</w:t>
      </w:r>
    </w:p>
    <w:p w14:paraId="5FC93BA7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Alkalmazandó jogszabályok:</w:t>
      </w:r>
    </w:p>
    <w:p w14:paraId="460263D1" w14:textId="77777777" w:rsidR="009E0B79" w:rsidRPr="009E0B79" w:rsidRDefault="009E0B79" w:rsidP="009E0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4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anyakönyvi eljárásról szóló 2010. évi I. törvény</w:t>
        </w:r>
      </w:hyperlink>
    </w:p>
    <w:p w14:paraId="64BC13DA" w14:textId="77777777" w:rsidR="009E0B79" w:rsidRPr="009E0B79" w:rsidRDefault="009E0B79" w:rsidP="009E0B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5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anyakönyvezési feladatok ellátásának részletes szabályairól szóló 429/2017. (XII.20) Korm. rendelet</w:t>
        </w:r>
      </w:hyperlink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.</w:t>
      </w:r>
    </w:p>
    <w:p w14:paraId="1E52849D" w14:textId="77777777" w:rsidR="009E0B79" w:rsidRPr="009E0B79" w:rsidRDefault="009E0B79" w:rsidP="009E0B79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B7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pict w14:anchorId="21C61422">
          <v:rect id="_x0000_i1026" style="width:0;height:.75pt" o:hralign="center" o:hrstd="t" o:hr="t" fillcolor="#a0a0a0" stroked="f"/>
        </w:pict>
      </w:r>
    </w:p>
    <w:p w14:paraId="5EB63C85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4. Apai elismerő nyilatkozatok</w:t>
      </w:r>
    </w:p>
    <w:p w14:paraId="103CB115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Az apai elismerő nyilatkozatot személyesen, együttesen lehet megtenni a gyermek születése előtt és után is.</w:t>
      </w:r>
    </w:p>
    <w:p w14:paraId="0362224A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 nyilatkozat megtételéhez szükséges dokumentumok:</w:t>
      </w:r>
    </w:p>
    <w:p w14:paraId="66CA1213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– érvényes személyazonosító igazolvány és lakcímkártya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orvosi igazolás a fogantatás vélelmezhető időpontjáról és a szülés várható idejéről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elvált/özvegy családi állapot esetén családi állapot igazolás.</w:t>
      </w:r>
    </w:p>
    <w:p w14:paraId="71244EA6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Alkalmazandó jogszabályok:</w:t>
      </w:r>
    </w:p>
    <w:p w14:paraId="18EA17CA" w14:textId="77777777" w:rsidR="009E0B79" w:rsidRPr="009E0B79" w:rsidRDefault="009E0B79" w:rsidP="009E0B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6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anyakönyvi eljárásról szóló 2010. évi I. törvény</w:t>
        </w:r>
      </w:hyperlink>
    </w:p>
    <w:p w14:paraId="679F5FFF" w14:textId="77777777" w:rsidR="009E0B79" w:rsidRPr="009E0B79" w:rsidRDefault="009E0B79" w:rsidP="009E0B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7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anyakönyvezési feladatok ellátásának részletes szabályairól szóló 429/2017. (XII.20) Korm. rendelet</w:t>
        </w:r>
      </w:hyperlink>
    </w:p>
    <w:p w14:paraId="68329BA4" w14:textId="77777777" w:rsidR="009E0B79" w:rsidRPr="009E0B79" w:rsidRDefault="009E0B79" w:rsidP="009E0B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8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 Polgári Törvénykönyvről szóló 2013. évi V. törvény</w:t>
        </w:r>
      </w:hyperlink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.</w:t>
      </w:r>
    </w:p>
    <w:p w14:paraId="7889D2E4" w14:textId="77777777" w:rsidR="009E0B79" w:rsidRPr="009E0B79" w:rsidRDefault="009E0B79" w:rsidP="009E0B79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B79"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46FF0F74">
          <v:rect id="_x0000_i1027" style="width:0;height:.75pt" o:hralign="center" o:hrstd="t" o:hr="t" fillcolor="#a0a0a0" stroked="f"/>
        </w:pict>
      </w:r>
    </w:p>
    <w:p w14:paraId="5A6C7FBE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5. Házassági névviselési forma módosítása</w:t>
      </w:r>
    </w:p>
    <w:p w14:paraId="0F6D933D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Házasságban vagy házasság megszűnése után a házassági név módosítását személyesen lehet kérni.</w:t>
      </w:r>
    </w:p>
    <w:p w14:paraId="79B63E42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 nyilatkozat megtételéhez szükséges dokumentumok:</w:t>
      </w:r>
    </w:p>
    <w:p w14:paraId="5F7F6588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– érvényes személyazonosító igazolvány és lakcímkártya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eredeti házassági anyakönyvi kivonat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elvált/özvegy családi állapot esetén családi állapot igazolás.</w:t>
      </w:r>
    </w:p>
    <w:p w14:paraId="3567007A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Alkalmazandó jogszabályok:</w:t>
      </w:r>
    </w:p>
    <w:p w14:paraId="4B8A1BA4" w14:textId="77777777" w:rsidR="009E0B79" w:rsidRPr="009E0B79" w:rsidRDefault="009E0B79" w:rsidP="009E0B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19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anyakönyvi eljárásról szóló 2010. évi I. törvény</w:t>
        </w:r>
      </w:hyperlink>
    </w:p>
    <w:p w14:paraId="0C533BD2" w14:textId="77777777" w:rsidR="009E0B79" w:rsidRPr="009E0B79" w:rsidRDefault="009E0B79" w:rsidP="009E0B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0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anyakönyvezési feladatok ellátásának részletes szabályairól szóló 429/2017. (XII.20) Korm. rendelet</w:t>
        </w:r>
      </w:hyperlink>
    </w:p>
    <w:p w14:paraId="702AA793" w14:textId="77777777" w:rsidR="009E0B79" w:rsidRPr="009E0B79" w:rsidRDefault="009E0B79" w:rsidP="009E0B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1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 Polgári Törvénykönyvről szóló 2013. évi V. törvény</w:t>
        </w:r>
      </w:hyperlink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.</w:t>
      </w:r>
    </w:p>
    <w:p w14:paraId="2F6BACC3" w14:textId="77777777" w:rsidR="009E0B79" w:rsidRPr="009E0B79" w:rsidRDefault="009E0B79" w:rsidP="009E0B79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B79"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4200AA56">
          <v:rect id="_x0000_i1028" style="width:0;height:.75pt" o:hralign="center" o:hrstd="t" o:hr="t" fillcolor="#a0a0a0" stroked="f"/>
        </w:pict>
      </w:r>
    </w:p>
    <w:p w14:paraId="50CF8024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6. Születési névváltoztatás</w:t>
      </w:r>
    </w:p>
    <w:p w14:paraId="4373D3F9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lastRenderedPageBreak/>
        <w:t>A születési névváltoztatást személyesen lehet kérni anyakönyvvezető előtt. Lehetőség van a születési utónév módosítására – kettő utónév esetén a két utónév sorrendjének cseréje vagy az egyik elhagyása -, a születési családi név és/vagy a születési utónév megváltoztatására.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</w:r>
      <w:r w:rsidRPr="009E0B79">
        <w:rPr>
          <w:rFonts w:ascii="Roboto" w:eastAsia="Times New Roman" w:hAnsi="Roboto" w:cs="Times New Roman"/>
          <w:i/>
          <w:iCs/>
          <w:color w:val="404040"/>
          <w:sz w:val="24"/>
          <w:szCs w:val="24"/>
          <w:lang w:eastAsia="hu-HU"/>
        </w:rPr>
        <w:t>A születési névváltoztatásra vonatkozó speciális szabályokra tekintettel javasoljuk, hogy a kérelmet megelőzően elektronikusan vagy telefonon érdeklődjenek az anyakönyvvezetőknél.</w:t>
      </w:r>
    </w:p>
    <w:p w14:paraId="4D97CAB4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 születési névváltoztatási kérelem benyújtásához szükséges dokumentumok:</w:t>
      </w:r>
    </w:p>
    <w:p w14:paraId="53482DA9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– érvényes személyazonosító igazolvány és lakcímkártya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születési névváltoztatási formanyomtatvány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az igazgatási szolgáltatási díj befizetését igazoló dokumentum.</w:t>
      </w:r>
    </w:p>
    <w:p w14:paraId="130C972C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Alkalmazandó jogszabályok:</w:t>
      </w:r>
    </w:p>
    <w:p w14:paraId="6510203D" w14:textId="77777777" w:rsidR="009E0B79" w:rsidRPr="009E0B79" w:rsidRDefault="009E0B79" w:rsidP="009E0B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2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anyakönyvi eljárásról szóló 2010. évi I. törvény</w:t>
        </w:r>
      </w:hyperlink>
    </w:p>
    <w:p w14:paraId="36B1B946" w14:textId="77777777" w:rsidR="009E0B79" w:rsidRPr="009E0B79" w:rsidRDefault="009E0B79" w:rsidP="009E0B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3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anyakönyvezési feladatok ellátásának részletes szabályairól szóló 429/2017. (XII.20) Korm. rendelet</w:t>
        </w:r>
      </w:hyperlink>
    </w:p>
    <w:p w14:paraId="5B1D8899" w14:textId="77777777" w:rsidR="009E0B79" w:rsidRPr="009E0B79" w:rsidRDefault="009E0B79" w:rsidP="009E0B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4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 Polgári Törvénykönyvről szóló 2013. évi V. törvény</w:t>
        </w:r>
      </w:hyperlink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.</w:t>
      </w:r>
    </w:p>
    <w:p w14:paraId="170E2B14" w14:textId="77777777" w:rsidR="009E0B79" w:rsidRPr="009E0B79" w:rsidRDefault="009E0B79" w:rsidP="009E0B79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B79"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2E936CE0">
          <v:rect id="_x0000_i1029" style="width:0;height:.75pt" o:hralign="center" o:hrstd="t" o:hr="t" fillcolor="#a0a0a0" stroked="f"/>
        </w:pict>
      </w:r>
    </w:p>
    <w:p w14:paraId="15975B69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7. Anyakönyvi kivonatok kiállítása</w:t>
      </w:r>
    </w:p>
    <w:p w14:paraId="6A9A8703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A 2014. július 01. utáni anyakönyvi eseményekről az elveszett anyakönyvi kivonatok pótlását bármely anyakönyvvezetőnél lehet kérni.</w:t>
      </w:r>
    </w:p>
    <w:p w14:paraId="453A5CF3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 kérelem benyújtásához szükséges dokumentumok:</w:t>
      </w:r>
    </w:p>
    <w:p w14:paraId="6B0CAE77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– érvényes személyazonosító igazolvány és lakcímkártya</w:t>
      </w:r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br/>
        <w:t>– más, 18 év feletti személy kivonatának kikérése esetén eredeti meghatalmazás.</w:t>
      </w:r>
    </w:p>
    <w:p w14:paraId="608E036A" w14:textId="77777777" w:rsidR="009E0B79" w:rsidRPr="009E0B79" w:rsidRDefault="009E0B79" w:rsidP="009E0B79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r w:rsidRPr="009E0B79">
        <w:rPr>
          <w:rFonts w:ascii="Roboto" w:eastAsia="Times New Roman" w:hAnsi="Roboto" w:cs="Times New Roman"/>
          <w:b/>
          <w:bCs/>
          <w:color w:val="404040"/>
          <w:sz w:val="24"/>
          <w:szCs w:val="24"/>
          <w:lang w:eastAsia="hu-HU"/>
        </w:rPr>
        <w:t>Alkalmazandó jogszabályok:</w:t>
      </w:r>
    </w:p>
    <w:p w14:paraId="4325E0D6" w14:textId="77777777" w:rsidR="009E0B79" w:rsidRPr="009E0B79" w:rsidRDefault="009E0B79" w:rsidP="009E0B7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5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anyakönyvi eljárásról szóló 2010. évi I. törvény</w:t>
        </w:r>
      </w:hyperlink>
    </w:p>
    <w:p w14:paraId="1F2F37BA" w14:textId="77777777" w:rsidR="009E0B79" w:rsidRPr="009E0B79" w:rsidRDefault="009E0B79" w:rsidP="009E0B7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6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az anyakönyvezési feladatok ellátásának részletes szabályairól szóló 429/2017. (XII.20) Korm. rendelet</w:t>
        </w:r>
      </w:hyperlink>
    </w:p>
    <w:p w14:paraId="7179A712" w14:textId="77777777" w:rsidR="009E0B79" w:rsidRPr="009E0B79" w:rsidRDefault="009E0B79" w:rsidP="009E0B7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</w:pPr>
      <w:hyperlink r:id="rId27" w:tgtFrame="_blank" w:history="1">
        <w:r w:rsidRPr="009E0B79">
          <w:rPr>
            <w:rFonts w:ascii="Roboto" w:eastAsia="Times New Roman" w:hAnsi="Roboto" w:cs="Times New Roman"/>
            <w:color w:val="4169E1"/>
            <w:sz w:val="24"/>
            <w:szCs w:val="24"/>
            <w:u w:val="single"/>
            <w:lang w:eastAsia="hu-HU"/>
          </w:rPr>
          <w:t>a Polgári Törvénykönyvről szóló 2013. évi V. törvény</w:t>
        </w:r>
      </w:hyperlink>
      <w:r w:rsidRPr="009E0B79">
        <w:rPr>
          <w:rFonts w:ascii="Roboto" w:eastAsia="Times New Roman" w:hAnsi="Roboto" w:cs="Times New Roman"/>
          <w:color w:val="404040"/>
          <w:sz w:val="24"/>
          <w:szCs w:val="24"/>
          <w:lang w:eastAsia="hu-HU"/>
        </w:rPr>
        <w:t>.</w:t>
      </w:r>
    </w:p>
    <w:p w14:paraId="04B05B4E" w14:textId="77777777" w:rsidR="00664B6F" w:rsidRDefault="00664B6F"/>
    <w:sectPr w:rsidR="00664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5DF"/>
    <w:multiLevelType w:val="multilevel"/>
    <w:tmpl w:val="2044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7E4824"/>
    <w:multiLevelType w:val="multilevel"/>
    <w:tmpl w:val="8392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792AA8"/>
    <w:multiLevelType w:val="multilevel"/>
    <w:tmpl w:val="7124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4D6198"/>
    <w:multiLevelType w:val="multilevel"/>
    <w:tmpl w:val="967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AE5B31"/>
    <w:multiLevelType w:val="multilevel"/>
    <w:tmpl w:val="7D38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F73A20"/>
    <w:multiLevelType w:val="multilevel"/>
    <w:tmpl w:val="2E5C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A153EE"/>
    <w:multiLevelType w:val="multilevel"/>
    <w:tmpl w:val="4C84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79"/>
    <w:rsid w:val="00664B6F"/>
    <w:rsid w:val="009E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4509"/>
  <w15:chartTrackingRefBased/>
  <w15:docId w15:val="{13CB4B4E-3CCE-41AB-981E-B9D8773C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E0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0B7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E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E0B79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9E0B79"/>
    <w:rPr>
      <w:b/>
      <w:bCs/>
    </w:rPr>
  </w:style>
  <w:style w:type="character" w:styleId="Kiemels">
    <w:name w:val="Emphasis"/>
    <w:basedOn w:val="Bekezdsalapbettpusa"/>
    <w:uiPriority w:val="20"/>
    <w:qFormat/>
    <w:rsid w:val="009E0B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1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92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300005.tv" TargetMode="External"/><Relationship Id="rId13" Type="http://schemas.openxmlformats.org/officeDocument/2006/relationships/hyperlink" Target="https://veszprem.hu/wp-content/uploads/2024/02/1510kr_egyseges.pdf" TargetMode="External"/><Relationship Id="rId18" Type="http://schemas.openxmlformats.org/officeDocument/2006/relationships/hyperlink" Target="https://net.jogtar.hu/jogszabaly?docid=a1300005.tv" TargetMode="External"/><Relationship Id="rId26" Type="http://schemas.openxmlformats.org/officeDocument/2006/relationships/hyperlink" Target="https://net.jogtar.hu/jogszabaly?docid=a1700429.ko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t.jogtar.hu/jogszabaly?docid=a1300005.tv" TargetMode="External"/><Relationship Id="rId7" Type="http://schemas.openxmlformats.org/officeDocument/2006/relationships/hyperlink" Target="https://net.jogtar.hu/jogszabaly?docid=a1700429.kor" TargetMode="External"/><Relationship Id="rId12" Type="http://schemas.openxmlformats.org/officeDocument/2006/relationships/hyperlink" Target="https://net.jogtar.hu/jogszabaly?docid=a1300005.tv" TargetMode="External"/><Relationship Id="rId17" Type="http://schemas.openxmlformats.org/officeDocument/2006/relationships/hyperlink" Target="https://net.jogtar.hu/jogszabaly?docid=a1700429.kor" TargetMode="External"/><Relationship Id="rId25" Type="http://schemas.openxmlformats.org/officeDocument/2006/relationships/hyperlink" Target="https://mkogy.jogtar.hu/jogszabaly?docid=a1000001.TV" TargetMode="External"/><Relationship Id="rId2" Type="http://schemas.openxmlformats.org/officeDocument/2006/relationships/styles" Target="styles.xml"/><Relationship Id="rId16" Type="http://schemas.openxmlformats.org/officeDocument/2006/relationships/hyperlink" Target="https://mkogy.jogtar.hu/jogszabaly?docid=a1000001.TV" TargetMode="External"/><Relationship Id="rId20" Type="http://schemas.openxmlformats.org/officeDocument/2006/relationships/hyperlink" Target="https://net.jogtar.hu/jogszabaly?docid=a1700429.ko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kogy.jogtar.hu/jogszabaly?docid=a1000001.TV" TargetMode="External"/><Relationship Id="rId11" Type="http://schemas.openxmlformats.org/officeDocument/2006/relationships/hyperlink" Target="https://net.jogtar.hu/jogszabaly?docid=a1700429.kor" TargetMode="External"/><Relationship Id="rId24" Type="http://schemas.openxmlformats.org/officeDocument/2006/relationships/hyperlink" Target="https://net.jogtar.hu/jogszabaly?docid=a1300005.tv" TargetMode="External"/><Relationship Id="rId5" Type="http://schemas.openxmlformats.org/officeDocument/2006/relationships/hyperlink" Target="https://pokaszepetkikoh.hu/wp-content/uploads/2026/02/Anyakonyvi-ugyek-tajekoztato.pdf" TargetMode="External"/><Relationship Id="rId15" Type="http://schemas.openxmlformats.org/officeDocument/2006/relationships/hyperlink" Target="https://net.jogtar.hu/jogszabaly?docid=a1700429.kor" TargetMode="External"/><Relationship Id="rId23" Type="http://schemas.openxmlformats.org/officeDocument/2006/relationships/hyperlink" Target="https://net.jogtar.hu/jogszabaly?docid=a1700429.ko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kogy.jogtar.hu/jogszabaly?docid=a1000001.TV" TargetMode="External"/><Relationship Id="rId19" Type="http://schemas.openxmlformats.org/officeDocument/2006/relationships/hyperlink" Target="https://mkogy.jogtar.hu/jogszabaly?docid=a1000001.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ogszabaly?docid=a1100035.kor" TargetMode="External"/><Relationship Id="rId14" Type="http://schemas.openxmlformats.org/officeDocument/2006/relationships/hyperlink" Target="https://mkogy.jogtar.hu/jogszabaly?docid=a1000001.TV" TargetMode="External"/><Relationship Id="rId22" Type="http://schemas.openxmlformats.org/officeDocument/2006/relationships/hyperlink" Target="https://mkogy.jogtar.hu/jogszabaly?docid=a1000001.TV" TargetMode="External"/><Relationship Id="rId27" Type="http://schemas.openxmlformats.org/officeDocument/2006/relationships/hyperlink" Target="https://net.jogtar.hu/jogszabaly?docid=a1300005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7282</Characters>
  <Application>Microsoft Office Word</Application>
  <DocSecurity>0</DocSecurity>
  <Lines>60</Lines>
  <Paragraphs>16</Paragraphs>
  <ScaleCrop>false</ScaleCrop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Sz.P.Judit</dc:creator>
  <cp:keywords/>
  <dc:description/>
  <cp:lastModifiedBy>Sz.P.Judit</cp:lastModifiedBy>
  <cp:revision>1</cp:revision>
  <dcterms:created xsi:type="dcterms:W3CDTF">2026-04-16T08:21:00Z</dcterms:created>
  <dcterms:modified xsi:type="dcterms:W3CDTF">2026-04-16T08:22:00Z</dcterms:modified>
</cp:coreProperties>
</file>